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0"/>
          <w:szCs w:val="40"/>
          <w:shd w:val="clear" w:color="auto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0"/>
          <w:szCs w:val="40"/>
          <w:shd w:val="clear" w:color="auto" w:fill="FFFFFF"/>
          <w:lang w:val="en-US" w:eastAsia="zh-CN" w:bidi="ar"/>
        </w:rPr>
        <w:t>郑州黄河湿地生态保护和高质量发展政协提案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建议市政府搭建黄河流域一体化的数字化协同治理平台，推动不同区域、不同部门间的数据整合，加强数据互联、信息共享、协同监测、联防联治，为精准识别、科学防范、系统治理黄河流域生态保护和环境治理提供全流程数据支撑，提升科学化、精细化、智能化治理水平，实现共同抓好大保护、协同推进大治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建议市政府出台生态补偿和生态资源有偿使用等相应政策，引导沿黄区域利用生态红线以外、保护区实验区退化湿地区域，对现有非耕地地块进行生态补偿，逐步退出耕种后进行湿地恢复。并在湿地恢复区引导合理利用黄河湿地生态、人文和土地资源，在不破坏湿地生态环境的前提下，适度开展生态旅游、生态养殖、生态农业，实现在发展中保护，在保护中发展，探索走好产业生态化和生态产业化的发展路子，打通“两山”转化通道，实现生态环境的现代经济价值，让滩区群众群众依托黄河湿地获得一定收益，创造“人”与“生态”共赢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建议制定全市流域湿地保护管理规划，提高保护管理水平。贯彻“科学保护、合理利用”思想，编制黄河流域湿地保护规划，建立布局合理的湿地保护管理体系，协调保护和利用关系，开展流域湿地综合治理，扩大湿地面积，不断加强湿地保护和恢复的科技支撑，提升郑州黄河湿地保护管理的现代化水平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HanSansCN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hMjhmYzAyOGFkY2I5NWZkMGI1NTE3MzY4YTYwMTAifQ=="/>
  </w:docVars>
  <w:rsids>
    <w:rsidRoot w:val="2FF75719"/>
    <w:rsid w:val="2FF75719"/>
    <w:rsid w:val="4FFD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2024-10-30T20:16:00Z</dcterms:created>
  <dc:creator>自然保护地</dc:creator>
  <cp:lastModifiedBy>kylin</cp:lastModifiedBy>
  <dcterms:modified xsi:type="dcterms:W3CDTF">2024-10-31T09:27:42Z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6BF562E2C1207B8B0EDD2267CBC12954</vt:lpwstr>
  </property>
</Properties>
</file>